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56" w:rsidRPr="00E22D56" w:rsidRDefault="00E22D56" w:rsidP="00E22D56">
      <w:pPr>
        <w:spacing w:before="91" w:after="91" w:line="240" w:lineRule="atLeast"/>
        <w:outlineLvl w:val="1"/>
        <w:rPr>
          <w:rFonts w:ascii="Arial" w:eastAsia="Times New Roman" w:hAnsi="Arial" w:cs="Arial"/>
          <w:b/>
          <w:bCs/>
          <w:color w:val="634013"/>
          <w:sz w:val="37"/>
          <w:szCs w:val="37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634013"/>
          <w:sz w:val="37"/>
          <w:szCs w:val="37"/>
          <w:lang w:eastAsia="ru-RU"/>
        </w:rPr>
        <w:br/>
        <w:t>Приоритетный национальный проект "Образование"</w:t>
      </w:r>
    </w:p>
    <w:p w:rsidR="00E22D56" w:rsidRPr="00E22D56" w:rsidRDefault="00E22D56" w:rsidP="00E22D56">
      <w:pPr>
        <w:spacing w:before="219" w:after="219" w:line="240" w:lineRule="auto"/>
        <w:jc w:val="center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62A1B"/>
          <w:sz w:val="24"/>
          <w:szCs w:val="24"/>
          <w:lang w:eastAsia="ru-RU"/>
        </w:rPr>
        <w:drawing>
          <wp:inline distT="0" distB="0" distL="0" distR="0">
            <wp:extent cx="1539240" cy="1539240"/>
            <wp:effectExtent l="19050" t="0" r="3810" b="0"/>
            <wp:docPr id="1" name="Рисунок 1" descr="http://school36.centerstart.ru/sites/school36.centerstart.ru/files/p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6.centerstart.ru/sites/school36.centerstart.ru/files/pnp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D56" w:rsidRPr="00E22D56" w:rsidRDefault="00E22D56" w:rsidP="00E22D56">
      <w:pPr>
        <w:spacing w:before="219" w:after="219" w:line="240" w:lineRule="auto"/>
        <w:jc w:val="center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РЕАЛИЗАЦИЯ НАЦИОНАЛЬНОЙ ОБРАЗОВАТЕЛЬНОЙ ИНИЦИАТИВЫ </w:t>
      </w: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br/>
        <w:t>"НАША НОВАЯ ШКОЛА"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1.      Переход на новые образовательные стандарты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Школа работает по авторским программам с элементами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компетентностного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подхода по  предметам: математике, русскому языку (авторские элективные курсы), С 2011 года школа работает по новым образовательным стандартам в начальной школе</w:t>
      </w:r>
      <w:r>
        <w:rPr>
          <w:rFonts w:ascii="Arial" w:eastAsia="Times New Roman" w:hAnsi="Arial" w:cs="Arial"/>
          <w:color w:val="362A1B"/>
          <w:sz w:val="24"/>
          <w:szCs w:val="24"/>
          <w:lang w:eastAsia="ru-RU"/>
        </w:rPr>
        <w:t>.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2. Развитие системы поддержки талантливых детей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В школе развивается система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учителей-тьюторов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(наставников) для талантливых детей.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br/>
      </w: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3. Совершенствование учительского корпуса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В школе развивается система методических семинаров для учителей, к проведению семинаров, нацеленных на совершенствование учителей, активно привлекаются специалисты ККИДППО, КубГУ, КНМЦ. Учителя проходят стажировки по всей России. Принимают участие в профессиональных и творческих конкурсах.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br/>
      </w: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4. Изменение школьной инфраструктуры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В школе постоянно совершенствуется материально-техническая база не только в виде компьютерной техники и не только для теоретических предметов, но и для занятий спортом. Во всех учебных кабинетах установлено интерактивное оборудование, проведена локальная сеть.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5. Сохранение и укрепление здоровья школьников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В школе действуют спортивные секции: футбола, волейбола, баскетбола, настольного тенниса. Проводятся физкультминутки на переменах.</w:t>
      </w:r>
    </w:p>
    <w:p w:rsidR="00E22D56" w:rsidRPr="00E22D56" w:rsidRDefault="00E22D56" w:rsidP="00E22D56">
      <w:pPr>
        <w:spacing w:before="219" w:after="219" w:line="240" w:lineRule="auto"/>
        <w:ind w:left="360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6. Расширение самостоятельности школ</w:t>
      </w:r>
    </w:p>
    <w:p w:rsid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З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авершен процесс перехода на самостоятельную бухгалтерию.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 </w:t>
      </w:r>
    </w:p>
    <w:p w:rsidR="00E22D56" w:rsidRPr="00E22D56" w:rsidRDefault="00E22D56" w:rsidP="00E22D56">
      <w:pPr>
        <w:spacing w:before="219" w:after="219" w:line="240" w:lineRule="auto"/>
        <w:jc w:val="center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lastRenderedPageBreak/>
        <w:t>Приоритетный национальный проект "Образование"</w:t>
      </w:r>
    </w:p>
    <w:p w:rsidR="00E22D56" w:rsidRPr="00E22D56" w:rsidRDefault="00E22D56" w:rsidP="00E22D56">
      <w:pPr>
        <w:spacing w:before="219" w:after="219" w:line="240" w:lineRule="auto"/>
        <w:jc w:val="center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62A1B"/>
          <w:sz w:val="24"/>
          <w:szCs w:val="24"/>
          <w:lang w:eastAsia="ru-RU"/>
        </w:rPr>
        <w:drawing>
          <wp:inline distT="0" distB="0" distL="0" distR="0">
            <wp:extent cx="1504950" cy="1504950"/>
            <wp:effectExtent l="19050" t="0" r="0" b="0"/>
            <wp:docPr id="2" name="Рисунок 2" descr="http://school36.centerstart.ru/sites/school36.centerstart.ru/files/pnp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6.centerstart.ru/sites/school36.centerstart.ru/files/pnp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5 сентября 2005 года Президент Российской Федерации Владимир Путин объявил о старте четырёх приоритетных национальных проектов: "Образование", "Здоровье", "Доступное жилье" и "Развитие агропромышленного комплекса". По мнению главы государства, "во-первых, именно эти сферы определяют качество жизни людей и социальное самочувствие общества. И, во-вторых, в конечном </w:t>
      </w: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счете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решение именно этих вопросов прямо влияет на демографическую ситуацию в стране и, что крайне важно, создает необходимые стартовые условия для развития так называемого человеческого капитала".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Проекты в рамках основного:</w:t>
      </w:r>
    </w:p>
    <w:p w:rsidR="00E22D56" w:rsidRPr="00E22D56" w:rsidRDefault="00E22D56" w:rsidP="00E22D56">
      <w:pPr>
        <w:numPr>
          <w:ilvl w:val="0"/>
          <w:numId w:val="1"/>
        </w:numPr>
        <w:spacing w:before="55" w:after="0" w:line="240" w:lineRule="auto"/>
        <w:ind w:left="207"/>
        <w:rPr>
          <w:rFonts w:ascii="Arial" w:eastAsia="Times New Roman" w:hAnsi="Arial" w:cs="Arial"/>
          <w:color w:val="513F29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513F29"/>
          <w:sz w:val="24"/>
          <w:szCs w:val="24"/>
          <w:u w:val="single"/>
          <w:lang w:eastAsia="ru-RU"/>
        </w:rPr>
        <w:t>Лучшие учителя</w:t>
      </w:r>
    </w:p>
    <w:p w:rsidR="00E22D56" w:rsidRPr="00E22D56" w:rsidRDefault="00E22D56" w:rsidP="00E22D56">
      <w:pPr>
        <w:numPr>
          <w:ilvl w:val="0"/>
          <w:numId w:val="1"/>
        </w:numPr>
        <w:spacing w:before="55" w:after="0" w:line="240" w:lineRule="auto"/>
        <w:ind w:left="207"/>
        <w:rPr>
          <w:rFonts w:ascii="Arial" w:eastAsia="Times New Roman" w:hAnsi="Arial" w:cs="Arial"/>
          <w:color w:val="513F29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513F29"/>
          <w:sz w:val="24"/>
          <w:szCs w:val="24"/>
          <w:u w:val="single"/>
          <w:lang w:eastAsia="ru-RU"/>
        </w:rPr>
        <w:t>Классное руководство</w:t>
      </w:r>
    </w:p>
    <w:p w:rsidR="00E22D56" w:rsidRPr="00E22D56" w:rsidRDefault="00E22D56" w:rsidP="00E22D56">
      <w:pPr>
        <w:numPr>
          <w:ilvl w:val="0"/>
          <w:numId w:val="1"/>
        </w:numPr>
        <w:spacing w:before="55" w:after="0" w:line="240" w:lineRule="auto"/>
        <w:ind w:left="207"/>
        <w:rPr>
          <w:rFonts w:ascii="Arial" w:eastAsia="Times New Roman" w:hAnsi="Arial" w:cs="Arial"/>
          <w:color w:val="513F29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513F29"/>
          <w:sz w:val="24"/>
          <w:szCs w:val="24"/>
          <w:u w:val="single"/>
          <w:lang w:eastAsia="ru-RU"/>
        </w:rPr>
        <w:t>Талантливая молодёжь</w:t>
      </w:r>
    </w:p>
    <w:p w:rsidR="00E22D56" w:rsidRPr="00E22D56" w:rsidRDefault="00E22D56" w:rsidP="00E22D56">
      <w:pPr>
        <w:numPr>
          <w:ilvl w:val="0"/>
          <w:numId w:val="1"/>
        </w:numPr>
        <w:spacing w:before="55" w:after="0" w:line="240" w:lineRule="auto"/>
        <w:ind w:left="207"/>
        <w:rPr>
          <w:rFonts w:ascii="Arial" w:eastAsia="Times New Roman" w:hAnsi="Arial" w:cs="Arial"/>
          <w:color w:val="513F29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513F29"/>
          <w:sz w:val="24"/>
          <w:szCs w:val="24"/>
          <w:u w:val="single"/>
          <w:lang w:eastAsia="ru-RU"/>
        </w:rPr>
        <w:t>Школьное питание</w:t>
      </w:r>
    </w:p>
    <w:p w:rsidR="00E22D56" w:rsidRPr="00E22D56" w:rsidRDefault="00E22D56" w:rsidP="00E22D56">
      <w:pPr>
        <w:numPr>
          <w:ilvl w:val="0"/>
          <w:numId w:val="1"/>
        </w:numPr>
        <w:spacing w:before="55" w:after="0" w:line="240" w:lineRule="auto"/>
        <w:ind w:left="207"/>
        <w:rPr>
          <w:rFonts w:ascii="Arial" w:eastAsia="Times New Roman" w:hAnsi="Arial" w:cs="Arial"/>
          <w:color w:val="513F29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513F29"/>
          <w:sz w:val="24"/>
          <w:szCs w:val="24"/>
          <w:u w:val="single"/>
          <w:lang w:eastAsia="ru-RU"/>
        </w:rPr>
        <w:t>Образование военнослужащих-контрактников</w:t>
      </w:r>
    </w:p>
    <w:p w:rsidR="00E22D56" w:rsidRPr="00E22D56" w:rsidRDefault="00E22D56" w:rsidP="00E22D56">
      <w:pPr>
        <w:numPr>
          <w:ilvl w:val="0"/>
          <w:numId w:val="1"/>
        </w:numPr>
        <w:spacing w:before="55" w:after="0" w:line="240" w:lineRule="auto"/>
        <w:ind w:left="207"/>
        <w:rPr>
          <w:rFonts w:ascii="Arial" w:eastAsia="Times New Roman" w:hAnsi="Arial" w:cs="Arial"/>
          <w:color w:val="513F29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513F29"/>
          <w:sz w:val="24"/>
          <w:szCs w:val="24"/>
          <w:u w:val="single"/>
          <w:lang w:eastAsia="ru-RU"/>
        </w:rPr>
        <w:t>Обучение молодых женщин, имеющих детей, на подготовительных отделениях вузов</w:t>
      </w:r>
    </w:p>
    <w:p w:rsidR="00E22D56" w:rsidRPr="00E22D56" w:rsidRDefault="00E22D56" w:rsidP="00E22D56">
      <w:pPr>
        <w:numPr>
          <w:ilvl w:val="0"/>
          <w:numId w:val="1"/>
        </w:numPr>
        <w:spacing w:before="55" w:after="0" w:line="240" w:lineRule="auto"/>
        <w:ind w:left="207"/>
        <w:rPr>
          <w:rFonts w:ascii="Arial" w:eastAsia="Times New Roman" w:hAnsi="Arial" w:cs="Arial"/>
          <w:color w:val="513F29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513F29"/>
          <w:sz w:val="24"/>
          <w:szCs w:val="24"/>
          <w:u w:val="single"/>
          <w:lang w:eastAsia="ru-RU"/>
        </w:rPr>
        <w:t>Прием в вузы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Задачи проекта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Приоритетный национальный проект "Образование" призван ускорить модернизацию российского образования, результатом которой станет достижение современного качества образования, адекватного меняющимся запросам общества и социально-экономическим условиям. В нацпроекте заложено два основных механизма стимулирования необходимых системных изменений в образовании. Во-первых, это выявление и приоритетная поддержка лидеров - "точек роста" нового качества образования. Во-вторых - внедрение в массовую практику элементов новых управленческих механизмов и подходов.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Поддержка на конкурсной основе лучших учителей и школ, внедряющих инновационные программы, способствует повышению открытости образовательной системы, её восприимчивости к запросам общества. Поощрение талантливых молодых людей призвано сформировать основу для реализации инновационного потенциала российской молодёжи. Важным институциональным изменением является внедрение новой системы оплаты труда учителей. На это системное изменение работает и вводимое в рамках национального проекта вознаграждение за классное руководство: принцип установления размеров доплат стимулирует развитие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подушевого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финансирования в образовании.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lastRenderedPageBreak/>
        <w:t xml:space="preserve">Национальный проект - не разовая акция, возникшая потому только, что появились деньги и надо их потратить. Это логический шаг в развитии реформы образования. Если хотите, это катализатор тех системных изменений, которые давно назрели, готовность к которым наконец-то сформировалась в обществе, а теперь еще и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ресурсно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обеспечены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Государственная поддержка инновационных программ вузов, учреждений начального и среднего профессионального образования, а также создание новых федеральных университетов направлены на модернизацию материально-технической базы учреждений, внедрение новых программ и технологий и, в целом, повышение качества профессионального образования, его взаимозависимости с экономикой страны и отдельных регионов. Открытие новых </w:t>
      </w:r>
      <w:proofErr w:type="spellStart"/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бизнес-школ</w:t>
      </w:r>
      <w:proofErr w:type="spellEnd"/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также напрямую ориентировано на прорывное развитие отечественной экономики, на формирование собственной системы подготовки управленческих кадров высочайшего класса. 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Интернетизация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российского образования </w:t>
      </w: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нацелена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на распространение через образование современных технологий во все сферы производства и общественной жизни. Выравнивание возможностей всех российских школьников и учителей обеспечивает принципиально новое качество образовательных услуг. Кроме того, разработка электронных образовательных ресурсов нового поколения приведёт к принципиальным изменениям результатов образования, расширению возможностей реализации индивидуальных образовательных программ. Поставленные в рамках нацпроекта учебное и учебно-наглядное оборудование, а также автобусы для сельской местности существенно повысили доступность качественного образования для всех российских школьников. 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Вышеназванные направления тесно связаны с ещё одним направлением национального проекта - модернизацией региональных систем образования - оно предполагает введение новой системы оплаты труда работников общего образования, направленной на повышение доходов учителей, переход на нормативное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подушевое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финансирование, развитие региональной системы оценки качества образования, обеспечение условий для получения качественного образования независимо от места жительства и расширение общественного участия в управлении образованием. </w:t>
      </w:r>
      <w:proofErr w:type="gramEnd"/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Таким образом, направления приоритетного национального проекта "Образование" образуют целостную мозаику, разные компоненты которой дополняют друг друга, с разных сторон направляя образовательную систему к единым целям, обеспечивая системные сдвиги. По мнению Министра образования и науки Российской Федерации Андрея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Фурсенко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, "национальный проект - не разовая акция, возникшая потому только, что появились деньги и надо их потратить. Это логический шаг в развитии реформы образования. Если хотите, это катализатор тех системных изменений, которые давно назрели, готовность к которым наконец-то сформировалась в обществе, а теперь еще и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ресурсно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обеспечены".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В рамках приоритетного национального проекта "Образование" с 2006 года осуществляется поддержка лучших учителей. Целью данного мероприятия является стимулирование преподавательской и воспитательной деятельности учителей, развитие их творческого и профессионального потенциала.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В рамках данного направления национального проекта в 2006-2009 годах ко Дню учителя выплачивалось денежное поощрение 10 000 лучших учителей в размере 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lastRenderedPageBreak/>
        <w:t>100 тыс. рублей каждое. Начиная с 2010 года, в соответствии с Указом Президента Российской Федерации от 28 января 2010 г. № 117, ежегодно выплачивается денежное поощрение 1 000 лучших учителей в размере 200 тыс. рублей каждое.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Государственная поддержка лучшим учителям будет осуществляться ежегодно за счет бюджетных ассигнований федерального бюджета в объеме 0,2 млрд. рублей. Количество денежных поощрений каждому субъекту Российской Федерации определяется Министерством образования и науки Российской Федерации с учетом числа обучающихся в образовательных учреждениях, расположенных в городской и сельской местности.</w:t>
      </w:r>
    </w:p>
    <w:p w:rsidR="00E22D56" w:rsidRPr="00E22D56" w:rsidRDefault="00E22D56" w:rsidP="00E22D56">
      <w:pPr>
        <w:spacing w:after="0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Согласно Положению о денежном поощрении лучших учителей, утвержденному Указом Президента Российской Федерации, денежное поощрение выплачивается лучшим учителям образовательных учреждений, реализующих общеобразовательные программы начального общего, основного общего и среднего (полного) общего образования, за высокие достижения в педагогической деятельности, получившие общественное признание.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br/>
        <w:t>Выплата денежного поощрения учителям осуществляется по результатам конкурса. На участие в конкурсе имеют право учителя со стажем педагогической работы не менее трех лет, основным местом работы которых являются образовательные учреждения, реализующие образовательные программы начального общего, основного общего и среднего (полного) общего образования. Лица, осуществляющие в общеобразовательных учреждениях только административные или организационные функции, права на денежное поощрение не имеют. Учитель, получивший денежное поощрение, имеет право повторно участвовать в конкурсе не ранее чем через пять лет.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br/>
        <w:t>В настоящее время известны имена лучших учителей Российской Федерации - победителей региональных конкурсов</w:t>
      </w:r>
      <w:hyperlink r:id="rId7" w:history="1">
        <w:r w:rsidRPr="00E22D56">
          <w:rPr>
            <w:rFonts w:ascii="Arial" w:eastAsia="Times New Roman" w:hAnsi="Arial" w:cs="Arial"/>
            <w:color w:val="925F1C"/>
            <w:sz w:val="24"/>
            <w:szCs w:val="24"/>
            <w:u w:val="single"/>
            <w:lang w:eastAsia="ru-RU"/>
          </w:rPr>
          <w:t>2006</w:t>
        </w:r>
      </w:hyperlink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, </w:t>
      </w:r>
      <w:hyperlink r:id="rId8" w:history="1">
        <w:r w:rsidRPr="00E22D56">
          <w:rPr>
            <w:rFonts w:ascii="Arial" w:eastAsia="Times New Roman" w:hAnsi="Arial" w:cs="Arial"/>
            <w:color w:val="925F1C"/>
            <w:sz w:val="24"/>
            <w:szCs w:val="24"/>
            <w:u w:val="single"/>
            <w:lang w:eastAsia="ru-RU"/>
          </w:rPr>
          <w:t>2007</w:t>
        </w:r>
      </w:hyperlink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, </w:t>
      </w:r>
      <w:hyperlink r:id="rId9" w:history="1">
        <w:r w:rsidRPr="00E22D56">
          <w:rPr>
            <w:rFonts w:ascii="Arial" w:eastAsia="Times New Roman" w:hAnsi="Arial" w:cs="Arial"/>
            <w:color w:val="925F1C"/>
            <w:sz w:val="24"/>
            <w:szCs w:val="24"/>
            <w:u w:val="single"/>
            <w:lang w:eastAsia="ru-RU"/>
          </w:rPr>
          <w:t>2008</w:t>
        </w:r>
      </w:hyperlink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, </w:t>
      </w:r>
      <w:hyperlink r:id="rId10" w:history="1">
        <w:r w:rsidRPr="00E22D56">
          <w:rPr>
            <w:rFonts w:ascii="Arial" w:eastAsia="Times New Roman" w:hAnsi="Arial" w:cs="Arial"/>
            <w:color w:val="925F1C"/>
            <w:sz w:val="24"/>
            <w:szCs w:val="24"/>
            <w:u w:val="single"/>
            <w:lang w:eastAsia="ru-RU"/>
          </w:rPr>
          <w:t>2009</w:t>
        </w:r>
      </w:hyperlink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, </w:t>
      </w:r>
      <w:hyperlink r:id="rId11" w:history="1">
        <w:r w:rsidRPr="00E22D56">
          <w:rPr>
            <w:rFonts w:ascii="Arial" w:eastAsia="Times New Roman" w:hAnsi="Arial" w:cs="Arial"/>
            <w:color w:val="925F1C"/>
            <w:sz w:val="24"/>
            <w:szCs w:val="24"/>
            <w:u w:val="single"/>
            <w:lang w:eastAsia="ru-RU"/>
          </w:rPr>
          <w:t>2010</w:t>
        </w:r>
      </w:hyperlink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, </w:t>
      </w:r>
      <w:hyperlink r:id="rId12" w:history="1">
        <w:r w:rsidRPr="00E22D56">
          <w:rPr>
            <w:rFonts w:ascii="Arial" w:eastAsia="Times New Roman" w:hAnsi="Arial" w:cs="Arial"/>
            <w:color w:val="925F1C"/>
            <w:sz w:val="24"/>
            <w:szCs w:val="24"/>
            <w:u w:val="single"/>
            <w:lang w:eastAsia="ru-RU"/>
          </w:rPr>
          <w:t>2011</w:t>
        </w:r>
      </w:hyperlink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, 2012 и 2013 годов.</w:t>
      </w:r>
    </w:p>
    <w:p w:rsidR="00E22D56" w:rsidRPr="00E22D56" w:rsidRDefault="00E22D56" w:rsidP="00E22D56">
      <w:pPr>
        <w:spacing w:before="219" w:after="219" w:line="240" w:lineRule="auto"/>
        <w:jc w:val="center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Талантливая молодёжь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            Направление приоритетного национального проекта "Образование" по государственной поддержке талантливой молодёжи призвано обеспечить условия для реализации инновационного потенциала российской молодёжи. Участие в нацпроекте талантливой, способной молодёжи рассматривается в перспективе как важнейший фактор и ресурс развития общества; её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деятельностное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включение в образовательные, экономические, политические и социальные процессы способно придать дополнительные импульсы </w:t>
      </w: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развития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как отдельному региону, так и стране в целом.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            Данное направление приоритетного национального проекта предусматривает ежегодное определение 5350 юных талантов во всех регионах России. В соответствии с указом Президента России 1250 ребят - победители российских и призёры международных олимпиад - получают премии по 60 тыс. руб., и 4100 молодых дарований - победители региональных и призёры российских олимпиад - получают премии по 30 тыс. руб.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Часть лауреатов премии отбирается федеральным центром из числа призёров международных и победителей всероссийских олимпиад среди школьников, учащихся профобразования, студентов, а также из числа победителей и призёров общероссийских мероприятий с молодёжью, предлагаемых федеральными органами исполнительной власти и общероссийскими (международными) 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lastRenderedPageBreak/>
        <w:t>общественными объединениями. 1250 кандидатам из их числа присуждена премия в 60 тыс. рублей и 2500 - по 30 тыс. рублей.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br/>
        <w:t xml:space="preserve">Вторая </w:t>
      </w: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часть лауреатов премии талантливой молодёжи определяется субъектами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Российской Федерации. Количество премий для каждого региона определяется пропорционально численности молодёжи в возрасте 14-25 лет. По результатам региональных олимпиад и иных конкурсных мероприятий определяются 1600 человек на присуждение премии. В соответствии с правилами присуждения премий талантливой молодёжи отбор кандидатов второй группы производится по пяти номинациям: социально-значимая и общественная деятельность; научно-техническое творчество и учебно-исследовательская деятельность; профессиональное мастерство; художественное творчество; а также любительский спорт</w:t>
      </w: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.В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ыплата премий осуществляется путём перечисления финансовых средств на личный счёт каждого молодого человека. Данные средства ребята могут использовать по своему усмотрению. Также все лауреатам вручаются диплом установленного образца и выписка из приказа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Минобрнауки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России.</w:t>
      </w:r>
    </w:p>
    <w:p w:rsidR="00E22D56" w:rsidRPr="00E22D56" w:rsidRDefault="00E22D56" w:rsidP="00E22D56">
      <w:pPr>
        <w:spacing w:before="219" w:after="219" w:line="240" w:lineRule="auto"/>
        <w:jc w:val="right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Утверждены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br/>
        <w:t xml:space="preserve">приказом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Минобрнауки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России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br/>
        <w:t>от «28 » февраля 2008 г. № 74</w:t>
      </w:r>
    </w:p>
    <w:p w:rsidR="00E22D56" w:rsidRPr="00E22D56" w:rsidRDefault="00E22D56" w:rsidP="00E22D56">
      <w:pPr>
        <w:spacing w:before="219" w:after="219" w:line="240" w:lineRule="auto"/>
        <w:jc w:val="center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t>ПРАВИЛА</w:t>
      </w:r>
      <w:r w:rsidRPr="00E22D56">
        <w:rPr>
          <w:rFonts w:ascii="Arial" w:eastAsia="Times New Roman" w:hAnsi="Arial" w:cs="Arial"/>
          <w:b/>
          <w:bCs/>
          <w:color w:val="362A1B"/>
          <w:sz w:val="24"/>
          <w:szCs w:val="24"/>
          <w:lang w:eastAsia="ru-RU"/>
        </w:rPr>
        <w:br/>
        <w:t>присуждения премий для поддержки талантливой молодежи и порядок выплаты указанных премий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1. Настоящие Правила устанавливают порядок присуждения премий для поддержки талантливой молодежи (далее - премии) и порядок выплаты указанных премий, присуждаемых гражданам Российской Федерации в возрасте от 14 до 25 лет включительно </w:t>
      </w: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-п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обедителям и призерам международных олимпиад и иных мероприятий, проводимых на конкурсной основе (далее - конкурсные мероприятия), победителям и призерам всероссийских олимпиад и иных конкурсных мероприятий, победителям региональных и межрегиональных олимпиад и иных конкурсных мероприятий (далее - олимпиады и иные конкурсные мероприятия).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2. Победителями и призерами олимпиад и иных конкурсных мероприятий при присуждении премий признаются победители и призеры заключительных этапов олимпиад и иных конкурсных мероприятий.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Возраст победителей и призеров олимпиад и иных конкурсных мероприятий определяется на момент даты проведения конкурсного мероприятия.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3. </w:t>
      </w:r>
      <w:proofErr w:type="gram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Олимпиады и иные конкурсные мероприятия проводятся одним или несколькими организаторами - федеральными органами государственной власти, органами государственной власти субъектов Российской Федерации, государственными (муниципальными) образовательными учреждениями высшего профессионального образования, негосударственными образовательными учреждениями высшего профессионального образования, имеющими государственную аккредитацию, государственными (муниципальными) научными учреждениями с возможным участием одного или нескольких государственных (муниципальных) или негосударственных образовательных учреждений среднего профессионального образования, имеющих государственную аккредитацию, образовательных учреждений</w:t>
      </w:r>
      <w:proofErr w:type="gram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дополнительного образования детей, общеобразовательных учреждений, общественных организаций и государственно-</w: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lastRenderedPageBreak/>
        <w:t>общественных объединений, средств массовой информации, иных юридических лиц.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4. Перечень олимпиад и иных конкурсных мероприятий, по итогам которых присуждаются премии (далее - Перечень), ежегодно до 1 октября года, предшествующего году присуждения премии, утверждается приказом Министерства образования и науки Российской Федерации (далее - Министерство).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5. Для формирования Перечня и отбора кандидатов на присуждение премии Министерство на конкурсной основе определяет уполномоченную организацию.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6. В Перечень включаются всероссийская олимпиада школьников, международные олимпиады по общеобразовательным предметам, олимпиады, а также иные конкурсные мероприятия, перечень которых утверждается Министерством.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Отбор других олимпиад и иных конкурсных мероприятий для включения в Перечень осуществляется по следующим критериям: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наличие Положения (регламента) об олимпиаде и ином конкурсном мероприятии, утвержденного организатором;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проведение олимпиады и иного конкурсного мероприятия в несколько этапов, при этом заключительный этап олимпиады проводится обязательно в очной форме;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подведение итогов олимпиады и иного конкурсного мероприятия по результатам личного (индивидуального) зачета;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проведение олимпиады и иного конкурсного мероприятия организатором на протяжении двух или более лет, предшествующих году подачи заявки для включения в Перечень.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7. Премии носят персональный характер, присуждаются победителям и (или) призерам по одной олимпиаде и иному конкурсному мероприятию и не могут присуждаться повторно в течение года, в котором осуществляется выплата премий.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8. Количество премий по олимпиадам и иным конкурсным мероприятиям, проводимым субъектами Российской Федерации, устанавливается пропорционально численности проживающих в субъекте Российской Федерации граждан, указанных в пункте 1 настоящих Правил, и ежегодно утверждается приказом Министерства.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Олимпиады и иные конкурсные мероприятия проводятся субъектами Российской Федерации по следующим номинациям: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социально-значимая и общественная деятельность;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научно-техническое творчество и учебно-исследовательская деятельность;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профессиональное мастерство;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художественное творчество;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любительский спорт.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lastRenderedPageBreak/>
        <w:t>9. По итогам олимпиад и иных конкурсных мероприятий организаторы не позднее 5 сентября текущего года представляют в уполномоченную организацию список кандидатов на присуждение премии в электронном и печатном виде и следующие документы для присуждения премии: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копия протокола жюри (судейской коллегии), заверенная организаторами в установленном порядке;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копия Положения (регламента) об олимпиаде и ином конкурсном мероприятии, победитель которого выдвинут кандидатом на присуждение премии, заверенная организаторами в установленном порядке;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копия приказа (решения) организатора об итогах олимпиады и иного конкурсного мероприятия, заверенная организаторами в установленном порядке;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копия документа, удостоверяющего личность кандидата на присуждение премии (на каждого кандидата);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справка с места учебы (работы) на каждого кандидата (при наличии);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личное заявление от кандидата о выплате премии, форма которого определяется Федеральным агентством по образованию (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далее-Рособразование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).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10. Уполномоченная организация до 5 октября текущего года проводит экспертизу представленных документов и представляет список кандидатов для присуждения премий в Министерство.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11. Присуждение премий производится приказами Министерства не позднее 15 октября.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12. Лицам, которым присуждены премии, вручается Диплом о присуждении премии, форма которого утверждается Министерством.</w:t>
      </w:r>
    </w:p>
    <w:p w:rsidR="00E22D56" w:rsidRPr="00E22D56" w:rsidRDefault="00E22D56" w:rsidP="00E22D56">
      <w:pPr>
        <w:spacing w:after="0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13. Приказы Министерства о присуждении премий размещаются на официальном Интернет - портале Министерства -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fldChar w:fldCharType="begin"/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instrText xml:space="preserve"> HYPERLINK "http://www.mon.gov.ru/" \o "www.mon.gov.ru" </w:instrText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fldChar w:fldCharType="separate"/>
      </w:r>
      <w:r w:rsidRPr="00E22D56">
        <w:rPr>
          <w:rFonts w:ascii="Arial" w:eastAsia="Times New Roman" w:hAnsi="Arial" w:cs="Arial"/>
          <w:color w:val="925F1C"/>
          <w:sz w:val="24"/>
          <w:szCs w:val="24"/>
          <w:u w:val="single"/>
          <w:lang w:eastAsia="ru-RU"/>
        </w:rPr>
        <w:t>www.mon.gov.ru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fldChar w:fldCharType="end"/>
      </w: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.</w:t>
      </w:r>
    </w:p>
    <w:p w:rsidR="00E22D56" w:rsidRPr="00E22D56" w:rsidRDefault="00E22D56" w:rsidP="00E22D56">
      <w:pPr>
        <w:spacing w:before="219" w:after="219" w:line="240" w:lineRule="auto"/>
        <w:rPr>
          <w:rFonts w:ascii="Arial" w:eastAsia="Times New Roman" w:hAnsi="Arial" w:cs="Arial"/>
          <w:color w:val="362A1B"/>
          <w:sz w:val="24"/>
          <w:szCs w:val="24"/>
          <w:lang w:eastAsia="ru-RU"/>
        </w:rPr>
      </w:pPr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14. Денежная часть премии перечисляется </w:t>
      </w:r>
      <w:proofErr w:type="spellStart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>Рособразованием</w:t>
      </w:r>
      <w:proofErr w:type="spellEnd"/>
      <w:r w:rsidRPr="00E22D56">
        <w:rPr>
          <w:rFonts w:ascii="Arial" w:eastAsia="Times New Roman" w:hAnsi="Arial" w:cs="Arial"/>
          <w:color w:val="362A1B"/>
          <w:sz w:val="24"/>
          <w:szCs w:val="24"/>
          <w:lang w:eastAsia="ru-RU"/>
        </w:rPr>
        <w:t xml:space="preserve"> лицам, которым присуждены премии.</w:t>
      </w:r>
    </w:p>
    <w:p w:rsidR="00FF3F6C" w:rsidRDefault="00FF3F6C"/>
    <w:sectPr w:rsidR="00FF3F6C" w:rsidSect="00FF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2C8C"/>
    <w:multiLevelType w:val="multilevel"/>
    <w:tmpl w:val="68E4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2D56"/>
    <w:rsid w:val="00E22D56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6C"/>
  </w:style>
  <w:style w:type="paragraph" w:styleId="2">
    <w:name w:val="heading 2"/>
    <w:basedOn w:val="a"/>
    <w:link w:val="20"/>
    <w:uiPriority w:val="9"/>
    <w:qFormat/>
    <w:rsid w:val="00E22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D56"/>
    <w:rPr>
      <w:b/>
      <w:bCs/>
    </w:rPr>
  </w:style>
  <w:style w:type="character" w:customStyle="1" w:styleId="apple-converted-space">
    <w:name w:val="apple-converted-space"/>
    <w:basedOn w:val="a0"/>
    <w:rsid w:val="00E22D56"/>
  </w:style>
  <w:style w:type="character" w:styleId="a5">
    <w:name w:val="Hyperlink"/>
    <w:basedOn w:val="a0"/>
    <w:uiPriority w:val="99"/>
    <w:semiHidden/>
    <w:unhideWhenUsed/>
    <w:rsid w:val="00E22D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on.gov.ru/pro/pnpo/uch/393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6/m219.html" TargetMode="External"/><Relationship Id="rId12" Type="http://schemas.openxmlformats.org/officeDocument/2006/relationships/hyperlink" Target="http://www.edu.ru/db-mon/mo/Data/d_11/prm2114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ld.mon.gov.ru/pro/pnpo/uch/748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ld.mon.gov.ru/files/materials/5506/uchitel09-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mon.gov.ru/files/materials/4771/uchitel08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2533</Words>
  <Characters>14440</Characters>
  <Application>Microsoft Office Word</Application>
  <DocSecurity>0</DocSecurity>
  <Lines>120</Lines>
  <Paragraphs>33</Paragraphs>
  <ScaleCrop>false</ScaleCrop>
  <Company>HOME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2015-01-04T12:27:00Z</dcterms:created>
  <dcterms:modified xsi:type="dcterms:W3CDTF">2015-01-04T12:30:00Z</dcterms:modified>
</cp:coreProperties>
</file>